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14015C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14015C" w:rsidRDefault="0014015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14015C" w:rsidRDefault="0014015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14015C" w:rsidRDefault="0014015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14015C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015C" w:rsidRPr="00BF1E6B" w:rsidRDefault="0014015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14015C" w:rsidRP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4015C">
              <w:rPr>
                <w:sz w:val="20"/>
                <w:szCs w:val="20"/>
                <w:lang w:val="en-US"/>
              </w:rPr>
              <w:t>detsad</w:t>
            </w:r>
            <w:proofErr w:type="spellEnd"/>
            <w:r w:rsidRPr="0014015C">
              <w:rPr>
                <w:sz w:val="20"/>
                <w:szCs w:val="20"/>
              </w:rPr>
              <w:t>_</w:t>
            </w:r>
            <w:proofErr w:type="spellStart"/>
            <w:r w:rsidRPr="0014015C">
              <w:rPr>
                <w:sz w:val="20"/>
                <w:szCs w:val="20"/>
                <w:lang w:val="en-US"/>
              </w:rPr>
              <w:t>zolotayrubka</w:t>
            </w:r>
            <w:proofErr w:type="spellEnd"/>
            <w:r w:rsidRPr="0014015C">
              <w:rPr>
                <w:sz w:val="20"/>
                <w:szCs w:val="20"/>
              </w:rPr>
              <w:t>@</w:t>
            </w:r>
            <w:proofErr w:type="spellStart"/>
            <w:r w:rsidRPr="0014015C">
              <w:rPr>
                <w:sz w:val="20"/>
                <w:szCs w:val="20"/>
                <w:lang w:val="en-US"/>
              </w:rPr>
              <w:t>mai</w:t>
            </w:r>
            <w:r>
              <w:rPr>
                <w:sz w:val="20"/>
                <w:szCs w:val="20"/>
              </w:rPr>
              <w:t>l.r</w:t>
            </w:r>
            <w:proofErr w:type="spellEnd"/>
            <w:r>
              <w:rPr>
                <w:sz w:val="20"/>
                <w:szCs w:val="20"/>
                <w:lang w:val="en-US"/>
              </w:rPr>
              <w:t>u</w:t>
            </w:r>
          </w:p>
          <w:p w:rsidR="0014015C" w:rsidRP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</w:pPr>
          </w:p>
          <w:p w:rsid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</w:pPr>
          </w:p>
          <w:p w:rsidR="0014015C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</w:pPr>
          </w:p>
          <w:p w:rsidR="0014015C" w:rsidRPr="00C04E66" w:rsidRDefault="0014015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5969D3" w:rsidRPr="005969D3" w:rsidRDefault="005969D3" w:rsidP="005969D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44"/>
          <w:szCs w:val="44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color w:val="007AD0"/>
          <w:kern w:val="36"/>
          <w:sz w:val="44"/>
          <w:szCs w:val="44"/>
          <w:lang w:eastAsia="ru-RU"/>
        </w:rPr>
        <w:t xml:space="preserve">Развитие культуры устной речи и </w:t>
      </w:r>
      <w:proofErr w:type="gramStart"/>
      <w:r w:rsidRPr="005969D3">
        <w:rPr>
          <w:rFonts w:ascii="Times New Roman" w:eastAsia="Times New Roman" w:hAnsi="Times New Roman" w:cs="Times New Roman"/>
          <w:b/>
          <w:color w:val="007AD0"/>
          <w:kern w:val="36"/>
          <w:sz w:val="44"/>
          <w:szCs w:val="44"/>
          <w:lang w:eastAsia="ru-RU"/>
        </w:rPr>
        <w:t>речевая</w:t>
      </w:r>
      <w:proofErr w:type="gramEnd"/>
      <w:r w:rsidRPr="005969D3">
        <w:rPr>
          <w:rFonts w:ascii="Times New Roman" w:eastAsia="Times New Roman" w:hAnsi="Times New Roman" w:cs="Times New Roman"/>
          <w:b/>
          <w:color w:val="007AD0"/>
          <w:kern w:val="36"/>
          <w:sz w:val="44"/>
          <w:szCs w:val="44"/>
          <w:lang w:eastAsia="ru-RU"/>
        </w:rPr>
        <w:t xml:space="preserve"> активность</w:t>
      </w:r>
    </w:p>
    <w:p w:rsidR="005969D3" w:rsidRPr="005969D3" w:rsidRDefault="005969D3" w:rsidP="005969D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  <w:proofErr w:type="gramEnd"/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каждый компонент в отдельности.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Развитие лексической стороны речи.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Формирование грамматического строя речи.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  <w:proofErr w:type="gramEnd"/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Учить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выразительно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Развитие и совершенствование звуковой культуры речи.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Развитие связной речи детей.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Диалогическая речь.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особых коммуникативных ситуациях упражнять детей в умении вести диалог (беседу, поддерживать и начинать его.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услышанным).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  <w:proofErr w:type="gramEnd"/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Обучать ребенка быть вежливым и тактичным в диалоге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Монологическая речь. Готовить к обучению монологическим типам речи (описанию и повествованию).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в пересказе произведений путем перевода стихотворного текста в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повествовательный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усваивают родной язык, подражая разговорной речи окружающих.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получается, что с речью ребенка к моменту поступления в школу возникает множество проблем.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Типичные проблемы развития речи дошкольника:</w:t>
      </w:r>
      <w:hyperlink r:id="rId6" w:history="1">
        <w:r w:rsidR="005B04FC" w:rsidRPr="005B04FC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Бедность речи. Недостаточный словарный запас.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Замусоривание речи сленговыми словами (результат просмотров телевизионных передач, употребление нелитературных слов и выражений.</w:t>
      </w:r>
      <w:proofErr w:type="gramEnd"/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 необходимо)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Отсутствие логического обоснования своих утверждений и выводов.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7. 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Плохая дикция. Общая интонационная и произносительная </w:t>
      </w:r>
      <w:proofErr w:type="spell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смазанность</w:t>
      </w:r>
      <w:proofErr w:type="spell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речи. Очень важно, чтобы ребенок пришел в школу с хорошо развитой 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речью. Это намного облегчит ему учебный процесс и снимет многие проблемы общения его с учителем.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развитию речи детей потребует от педагогов создания в группе определенных условий.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  <w:proofErr w:type="gramEnd"/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окружении детей звучала чистая, правильная, грамотная, культурная и богатая речь;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детям много выразительно читали;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окружающие взрослые умели тактично исправлять речевые ошибки и неточности ребенка;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интересно ты сейчас рассказал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п.).</w:t>
      </w:r>
      <w:proofErr w:type="gramEnd"/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Рассмотрим, как осуществляется решение задач по развитию речи детей в некоторых видах деятельности.</w:t>
      </w:r>
    </w:p>
    <w:p w:rsidR="005969D3" w:rsidRPr="005969D3" w:rsidRDefault="005969D3" w:rsidP="005969D3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Коммуникация</w:t>
      </w: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решает задачи: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Развитие свободного общения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Развитие всех компонентов устной речи детей (лексической стороны, грамматического строя речи, произносительной стороны речи, связной речи </w:t>
      </w:r>
      <w:proofErr w:type="gramStart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–д</w:t>
      </w:r>
      <w:proofErr w:type="gramEnd"/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иалогической и монологической форм) в различных формах и видах детской деятельности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Практическое овладение воспитанниками нормами речи</w:t>
      </w:r>
    </w:p>
    <w:p w:rsidR="005969D3" w:rsidRPr="005969D3" w:rsidRDefault="005969D3" w:rsidP="005969D3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969D3" w:rsidRPr="005969D3" w:rsidRDefault="005969D3" w:rsidP="005969D3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69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76D55" w:rsidRPr="005969D3" w:rsidRDefault="00376D55">
      <w:pPr>
        <w:rPr>
          <w:rFonts w:ascii="Times New Roman" w:hAnsi="Times New Roman" w:cs="Times New Roman"/>
          <w:sz w:val="28"/>
          <w:szCs w:val="28"/>
        </w:rPr>
      </w:pPr>
    </w:p>
    <w:sectPr w:rsidR="00376D55" w:rsidRPr="005969D3" w:rsidSect="0037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E96"/>
    <w:multiLevelType w:val="multilevel"/>
    <w:tmpl w:val="F54C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867C3"/>
    <w:multiLevelType w:val="multilevel"/>
    <w:tmpl w:val="D5DC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06D3B"/>
    <w:multiLevelType w:val="multilevel"/>
    <w:tmpl w:val="97A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1770B"/>
    <w:multiLevelType w:val="multilevel"/>
    <w:tmpl w:val="842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01BFA"/>
    <w:multiLevelType w:val="multilevel"/>
    <w:tmpl w:val="141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9D3"/>
    <w:rsid w:val="0014015C"/>
    <w:rsid w:val="00376D55"/>
    <w:rsid w:val="005969D3"/>
    <w:rsid w:val="005B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5"/>
  </w:style>
  <w:style w:type="paragraph" w:styleId="1">
    <w:name w:val="heading 1"/>
    <w:basedOn w:val="a"/>
    <w:link w:val="10"/>
    <w:uiPriority w:val="9"/>
    <w:qFormat/>
    <w:rsid w:val="00596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9D3"/>
    <w:rPr>
      <w:b/>
      <w:bCs/>
    </w:rPr>
  </w:style>
  <w:style w:type="character" w:styleId="a5">
    <w:name w:val="Hyperlink"/>
    <w:basedOn w:val="a0"/>
    <w:uiPriority w:val="99"/>
    <w:semiHidden/>
    <w:unhideWhenUsed/>
    <w:rsid w:val="005969D3"/>
    <w:rPr>
      <w:color w:val="0000FF"/>
      <w:u w:val="single"/>
    </w:rPr>
  </w:style>
  <w:style w:type="character" w:customStyle="1" w:styleId="11">
    <w:name w:val="Название объекта1"/>
    <w:basedOn w:val="a0"/>
    <w:rsid w:val="005969D3"/>
  </w:style>
  <w:style w:type="paragraph" w:customStyle="1" w:styleId="numb">
    <w:name w:val="numb"/>
    <w:basedOn w:val="a"/>
    <w:rsid w:val="005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5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69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69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69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69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5969D3"/>
  </w:style>
  <w:style w:type="paragraph" w:styleId="a6">
    <w:name w:val="header"/>
    <w:basedOn w:val="a"/>
    <w:link w:val="a7"/>
    <w:uiPriority w:val="99"/>
    <w:semiHidden/>
    <w:unhideWhenUsed/>
    <w:rsid w:val="001401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401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289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78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631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79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06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157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5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7589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4343530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838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0962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237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89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037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827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6357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848673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58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4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11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116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36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306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0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0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3210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0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777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199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47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8196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234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5768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8305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81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9401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953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5940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927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910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90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93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360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09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536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329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278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721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21180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7810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27951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94362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6172932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9670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26399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96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0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5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4119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08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86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39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30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83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7041</Characters>
  <Application>Microsoft Office Word</Application>
  <DocSecurity>0</DocSecurity>
  <Lines>58</Lines>
  <Paragraphs>16</Paragraphs>
  <ScaleCrop>false</ScaleCrop>
  <Company>DG Win&amp;Soft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2022-11-15T11:11:00Z</dcterms:created>
  <dcterms:modified xsi:type="dcterms:W3CDTF">2022-11-15T14:33:00Z</dcterms:modified>
</cp:coreProperties>
</file>